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Times New Roman" w:eastAsia="方正小标宋简体"/>
          <w:sz w:val="32"/>
          <w:szCs w:val="32"/>
          <w:highlight w:val="none"/>
          <w:lang w:eastAsia="zh-CN"/>
        </w:rPr>
        <w:t>浙江师范大学行知学院</w:t>
      </w:r>
      <w:r>
        <w:rPr>
          <w:rFonts w:hint="eastAsia" w:ascii="方正小标宋简体" w:hAnsi="Times New Roman" w:eastAsia="方正小标宋简体"/>
          <w:sz w:val="32"/>
          <w:szCs w:val="32"/>
          <w:highlight w:val="none"/>
        </w:rPr>
        <w:t>通识</w:t>
      </w:r>
      <w:r>
        <w:rPr>
          <w:rFonts w:hint="eastAsia" w:ascii="方正小标宋简体" w:hAnsi="Times New Roman" w:eastAsia="方正小标宋简体"/>
          <w:sz w:val="32"/>
          <w:szCs w:val="32"/>
          <w:highlight w:val="none"/>
          <w:lang w:eastAsia="zh-CN"/>
        </w:rPr>
        <w:t>课程</w:t>
      </w:r>
      <w:r>
        <w:rPr>
          <w:rFonts w:hint="eastAsia" w:ascii="方正小标宋简体" w:hAnsi="Times New Roman" w:eastAsia="方正小标宋简体"/>
          <w:sz w:val="32"/>
          <w:szCs w:val="32"/>
          <w:highlight w:val="none"/>
        </w:rPr>
        <w:t>①</w:t>
      </w:r>
      <w:r>
        <w:rPr>
          <w:rFonts w:hint="eastAsia" w:ascii="方正小标宋简体" w:hAnsi="Times New Roman" w:eastAsia="方正小标宋简体"/>
          <w:sz w:val="32"/>
          <w:szCs w:val="32"/>
          <w:highlight w:val="none"/>
          <w:lang w:eastAsia="zh-CN"/>
        </w:rPr>
        <w:t>课程设置</w:t>
      </w:r>
    </w:p>
    <w:p>
      <w:pPr>
        <w:spacing w:before="156" w:beforeLines="50" w:after="156" w:afterLines="50"/>
        <w:rPr>
          <w:rFonts w:hint="eastAsia" w:ascii="黑体" w:hAnsi="黑体" w:eastAsia="黑体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(1)文科专业</w:t>
      </w:r>
    </w:p>
    <w:tbl>
      <w:tblPr>
        <w:tblStyle w:val="5"/>
        <w:tblW w:w="7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2972"/>
        <w:gridCol w:w="376"/>
        <w:gridCol w:w="352"/>
        <w:gridCol w:w="352"/>
        <w:gridCol w:w="385"/>
        <w:gridCol w:w="414"/>
        <w:gridCol w:w="589"/>
        <w:gridCol w:w="461"/>
        <w:gridCol w:w="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课程编号</w:t>
            </w:r>
          </w:p>
        </w:tc>
        <w:tc>
          <w:tcPr>
            <w:tcW w:w="297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376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学  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5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周学时</w:t>
            </w:r>
          </w:p>
        </w:tc>
        <w:tc>
          <w:tcPr>
            <w:tcW w:w="35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总学时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学时分配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建议修读学期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1044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97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6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5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5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讲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授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实践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或上机</w:t>
            </w:r>
          </w:p>
        </w:tc>
        <w:tc>
          <w:tcPr>
            <w:tcW w:w="461" w:type="dxa"/>
            <w:vMerge w:val="continue"/>
            <w:noWrap w:val="0"/>
            <w:vAlign w:val="top"/>
          </w:tcPr>
          <w:p>
            <w:pPr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1210000135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马克思主义基本原理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Basic Principles of Marxism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毛泽东思想和中国特色社会主义理论体系概论</w:t>
            </w:r>
          </w:p>
          <w:p>
            <w:pPr>
              <w:spacing w:line="210" w:lineRule="exact"/>
              <w:rPr>
                <w:rFonts w:ascii="Times New Roman" w:hAnsi="Times New Roman"/>
                <w:spacing w:val="-6"/>
                <w:w w:val="95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Introduction to Mao Zedong Thought and the Theoretical System of Socialism with Chinese Characteristics 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1210000304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pacing w:val="-6"/>
                <w:w w:val="95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习近平新时代中国特色社会主义思想概论Introduction to Xi Jinping Thought on Socialism with Chinese Characteristics for a New Era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1210000029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中国近现代史纲要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Outline of Modern Chinese History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1210000305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思想道德与法治Ideological Morality and Law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1210000140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形势与政策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Current Situation and Policy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1210000006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(1)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1210000007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(2)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1210000008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大学英语(三)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(3)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1210000009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大学英语(四)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(4)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1210000141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Office高级应用</w:t>
            </w:r>
          </w:p>
          <w:p>
            <w:pPr>
              <w:spacing w:line="21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Advanced Applications of MS-Office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1210000197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多媒体设计基础</w:t>
            </w:r>
          </w:p>
          <w:p>
            <w:pPr>
              <w:spacing w:line="29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Multimedia Technology and Application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tabs>
                <w:tab w:val="left" w:pos="358"/>
              </w:tabs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四选一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1210000200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Web程序设计</w:t>
            </w:r>
          </w:p>
          <w:p>
            <w:pPr>
              <w:spacing w:line="29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Web Programming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1210000199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Python程序设计</w:t>
            </w:r>
          </w:p>
          <w:p>
            <w:pPr>
              <w:spacing w:line="29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Python Programming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1210000201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网络空间安全通识</w:t>
            </w:r>
          </w:p>
          <w:p>
            <w:pPr>
              <w:spacing w:line="29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General on Cyberspace Security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1210000079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 (1)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1210000080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 (2)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大学体育(三)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 (3)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1210000082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大学体育(四)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 (4)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1210000026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文选与应用文写作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Selected Works and Practical Writing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军事理论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Military Theory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大学生心理调适与发展</w:t>
            </w:r>
          </w:p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Psychological Adjustment and Development of College Students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上6周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1210000002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大学生职业生涯规划与就业指导(一)</w:t>
            </w:r>
          </w:p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 (1)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1210000003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大学生职业生涯规划与就业指导(二)</w:t>
            </w:r>
          </w:p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 (2)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1210000004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大学生职业生涯规划与就业指导(三)</w:t>
            </w:r>
          </w:p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 (3)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1210000005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大学生职业生涯规划与就业指导(四)</w:t>
            </w:r>
          </w:p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 (4)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1210000144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创业基础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Entrepreneurial Foundation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上8周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小  计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=SUM(ABOVE)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743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rPr>
          <w:rFonts w:eastAsia="黑体"/>
          <w:bCs/>
          <w:sz w:val="32"/>
          <w:szCs w:val="32"/>
          <w:highlight w:val="none"/>
        </w:rPr>
      </w:pPr>
      <w:r>
        <w:rPr>
          <w:rFonts w:hint="eastAsia" w:eastAsia="黑体"/>
          <w:bCs/>
          <w:sz w:val="32"/>
          <w:szCs w:val="32"/>
          <w:highlight w:val="none"/>
          <w:lang w:eastAsia="zh-CN"/>
        </w:rPr>
        <w:t>（</w:t>
      </w:r>
      <w:r>
        <w:rPr>
          <w:rFonts w:hint="default" w:eastAsia="黑体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黑体"/>
          <w:bCs/>
          <w:sz w:val="32"/>
          <w:szCs w:val="32"/>
          <w:highlight w:val="none"/>
          <w:lang w:eastAsia="zh-CN"/>
        </w:rPr>
        <w:t>）</w:t>
      </w:r>
      <w:r>
        <w:rPr>
          <w:rFonts w:eastAsia="黑体"/>
          <w:bCs/>
          <w:sz w:val="32"/>
          <w:szCs w:val="32"/>
          <w:highlight w:val="none"/>
        </w:rPr>
        <w:t>理工科专业</w:t>
      </w:r>
    </w:p>
    <w:tbl>
      <w:tblPr>
        <w:tblStyle w:val="5"/>
        <w:tblW w:w="7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6"/>
        <w:gridCol w:w="3058"/>
        <w:gridCol w:w="431"/>
        <w:gridCol w:w="441"/>
        <w:gridCol w:w="423"/>
        <w:gridCol w:w="406"/>
        <w:gridCol w:w="422"/>
        <w:gridCol w:w="401"/>
        <w:gridCol w:w="389"/>
        <w:gridCol w:w="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tblHeader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课程编号</w:t>
            </w:r>
          </w:p>
        </w:tc>
        <w:tc>
          <w:tcPr>
            <w:tcW w:w="3058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431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学  分</w:t>
            </w:r>
          </w:p>
        </w:tc>
        <w:tc>
          <w:tcPr>
            <w:tcW w:w="441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周学时</w:t>
            </w:r>
          </w:p>
        </w:tc>
        <w:tc>
          <w:tcPr>
            <w:tcW w:w="423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总学时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学时分配</w:t>
            </w:r>
          </w:p>
        </w:tc>
        <w:tc>
          <w:tcPr>
            <w:tcW w:w="389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开课学期</w:t>
            </w: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textDirection w:val="tbRlV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tblHeader/>
          <w:jc w:val="center"/>
        </w:trPr>
        <w:tc>
          <w:tcPr>
            <w:tcW w:w="1006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讲授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实践</w:t>
            </w: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或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Times New Roman" w:hAnsi="Times New Roman" w:eastAsia="黑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黑体"/>
                <w:sz w:val="18"/>
                <w:szCs w:val="18"/>
                <w:highlight w:val="none"/>
              </w:rPr>
              <w:t>上机</w:t>
            </w:r>
          </w:p>
        </w:tc>
        <w:tc>
          <w:tcPr>
            <w:tcW w:w="38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1210000135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马克思主义基本原理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Basic Principles of Marxism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毛泽东思想和中国特色社会主义理论体系概论</w:t>
            </w:r>
          </w:p>
          <w:p>
            <w:pPr>
              <w:spacing w:line="210" w:lineRule="exact"/>
              <w:rPr>
                <w:rFonts w:ascii="Times New Roman" w:hAnsi="Times New Roman"/>
                <w:spacing w:val="-6"/>
                <w:w w:val="95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Introduction to Mao Zedong Thought and the Theoretical System of Socialism with Chinese Characteristics 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904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1210000304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ascii="Times New Roman" w:hAnsi="Times New Roman"/>
                <w:spacing w:val="-6"/>
                <w:w w:val="95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习近平新时代中国特色社会主义思想概论Introduction to Xi Jinping Thought on Socialism with Chinese Characteristics for a New Era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904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1210000029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中国近现代史纲要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Outline of Modern Chinese History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1210000305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jc w:val="lef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yellow"/>
              </w:rPr>
              <w:t>思想道德与法治Ideological Morality and Law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1210000140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形势与政策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Current Situation and Policy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1210000006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English(1)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1210000007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English(2)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1210000008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大学英语(三)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English(3)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1210000009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大学英语(四)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English(4)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1210000141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Office高级应用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Advanced Applications of MS-Office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上12周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1210000197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多媒体设计基础</w:t>
            </w:r>
          </w:p>
          <w:p>
            <w:pPr>
              <w:spacing w:line="210" w:lineRule="exact"/>
              <w:rPr>
                <w:rFonts w:ascii="Calibri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Multimedia Technology and Application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904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上8周</w:t>
            </w:r>
          </w:p>
          <w:p>
            <w:pPr>
              <w:spacing w:line="21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二选一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1210000200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Web程序设计</w:t>
            </w:r>
          </w:p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Web Programming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904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1210000199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Python程序设计</w:t>
            </w:r>
          </w:p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Python Programming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904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上8周</w:t>
            </w:r>
          </w:p>
          <w:p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二选一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1210000201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网络空间安全通识</w:t>
            </w:r>
          </w:p>
          <w:p>
            <w:pPr>
              <w:spacing w:line="210" w:lineRule="exact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General on Cyberspace Security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>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904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1210000079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Education(1)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1210000080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Education(2)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大学体育(三)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Education(3)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1210000082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大学体育(四)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Education(4)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1210000026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文选与应用文写作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Selected Works and Practical Writing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1210000021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军事理论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Military Theory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1210000001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大学生心理调适与发展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Psychological Adjustment and Development of College Students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上6周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1210000002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students(1)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1210000003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students(2)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1210000004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大学生职业生涯规划与就业指导(三)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students(3)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1210000005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大学生职业生涯规划与就业指导(四)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Career planning and guidance for college students(4)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1210000144</w:t>
            </w: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创业基础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Entrepreneurial Fundamental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上8周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06" w:type="dxa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t>小  计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highlight w:val="none"/>
                <w:lang w:val="en-US"/>
              </w:rPr>
              <w:t>42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44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highlight w:val="none"/>
                <w:lang w:val="en-US"/>
              </w:rPr>
              <w:t>747</w:t>
            </w:r>
          </w:p>
        </w:tc>
        <w:tc>
          <w:tcPr>
            <w:tcW w:w="40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89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before="156" w:beforeLines="50" w:after="156" w:afterLines="50"/>
        <w:rPr>
          <w:rFonts w:hint="eastAsia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 xml:space="preserve"> (3)专升本各专业</w:t>
      </w:r>
    </w:p>
    <w:tbl>
      <w:tblPr>
        <w:tblStyle w:val="5"/>
        <w:tblW w:w="7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2972"/>
        <w:gridCol w:w="376"/>
        <w:gridCol w:w="352"/>
        <w:gridCol w:w="352"/>
        <w:gridCol w:w="385"/>
        <w:gridCol w:w="414"/>
        <w:gridCol w:w="589"/>
        <w:gridCol w:w="461"/>
        <w:gridCol w:w="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课程编号</w:t>
            </w:r>
          </w:p>
        </w:tc>
        <w:tc>
          <w:tcPr>
            <w:tcW w:w="297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376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学  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5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周学时</w:t>
            </w:r>
          </w:p>
        </w:tc>
        <w:tc>
          <w:tcPr>
            <w:tcW w:w="352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总学时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学时分配</w:t>
            </w:r>
          </w:p>
        </w:tc>
        <w:tc>
          <w:tcPr>
            <w:tcW w:w="461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建议修读学期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1044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97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6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5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52" w:type="dxa"/>
            <w:vMerge w:val="continue"/>
            <w:noWrap w:val="0"/>
            <w:vAlign w:val="top"/>
          </w:tcPr>
          <w:p>
            <w:pPr>
              <w:spacing w:line="210" w:lineRule="exact"/>
              <w:rPr>
                <w:rFonts w:ascii="黑体" w:hAnsi="黑体" w:eastAsia="黑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讲</w:t>
            </w:r>
          </w:p>
          <w:p>
            <w:pPr>
              <w:tabs>
                <w:tab w:val="center" w:pos="6660"/>
              </w:tabs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授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实践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1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或上机</w:t>
            </w:r>
          </w:p>
        </w:tc>
        <w:tc>
          <w:tcPr>
            <w:tcW w:w="461" w:type="dxa"/>
            <w:vMerge w:val="continue"/>
            <w:noWrap w:val="0"/>
            <w:vAlign w:val="top"/>
          </w:tcPr>
          <w:p>
            <w:pPr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210" w:lineRule="exact"/>
              <w:jc w:val="center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1210000006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大学英语(一)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(1)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1210000007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大学英语(二)</w:t>
            </w:r>
          </w:p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(2)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1210000001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21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大学生心理调适与发展</w:t>
            </w:r>
          </w:p>
          <w:p>
            <w:pPr>
              <w:spacing w:line="21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Psychological Adjustment and Development of College Students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/>
              </w:rPr>
              <w:t>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上6周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t>小  计</w:t>
            </w:r>
          </w:p>
        </w:tc>
        <w:tc>
          <w:tcPr>
            <w:tcW w:w="37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highlight w:val="none"/>
                <w:lang w:val="en-US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highlight w:val="none"/>
                <w:lang w:val="en-US"/>
              </w:rPr>
              <w:t>112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  <w:t>9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>—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4958"/>
    <w:rsid w:val="06F84168"/>
    <w:rsid w:val="086E4008"/>
    <w:rsid w:val="0958645F"/>
    <w:rsid w:val="0C091F6E"/>
    <w:rsid w:val="1270244C"/>
    <w:rsid w:val="137A2D9F"/>
    <w:rsid w:val="14666B11"/>
    <w:rsid w:val="15294F17"/>
    <w:rsid w:val="1B572BD9"/>
    <w:rsid w:val="21E93922"/>
    <w:rsid w:val="2242067B"/>
    <w:rsid w:val="2356372E"/>
    <w:rsid w:val="23E410E0"/>
    <w:rsid w:val="26B5009B"/>
    <w:rsid w:val="292F3F44"/>
    <w:rsid w:val="29CD5B67"/>
    <w:rsid w:val="2BA87A82"/>
    <w:rsid w:val="2CBB6650"/>
    <w:rsid w:val="361213C5"/>
    <w:rsid w:val="362C6871"/>
    <w:rsid w:val="3C232EA2"/>
    <w:rsid w:val="4A0F4A09"/>
    <w:rsid w:val="4B73464D"/>
    <w:rsid w:val="4E553227"/>
    <w:rsid w:val="500C7857"/>
    <w:rsid w:val="50F7505C"/>
    <w:rsid w:val="585F4BB7"/>
    <w:rsid w:val="587F5C20"/>
    <w:rsid w:val="5CF61467"/>
    <w:rsid w:val="5DFD18EF"/>
    <w:rsid w:val="5EBF3CD4"/>
    <w:rsid w:val="5EDC76D0"/>
    <w:rsid w:val="60642750"/>
    <w:rsid w:val="6FAF5A13"/>
    <w:rsid w:val="70656C27"/>
    <w:rsid w:val="733B0C7B"/>
    <w:rsid w:val="79737D6B"/>
    <w:rsid w:val="7DF96896"/>
    <w:rsid w:val="7E02586E"/>
    <w:rsid w:val="7E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75" w:afterLines="25"/>
      <w:ind w:firstLine="200" w:firstLineChars="200"/>
      <w:jc w:val="left"/>
      <w:outlineLvl w:val="1"/>
    </w:pPr>
    <w:rPr>
      <w:rFonts w:ascii="Calibri Light" w:hAnsi="Calibri Light" w:eastAsia="黑体"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2022-06-24T01:09:00Z</dcterms:created>
  <dc:creator>Administrator</dc:creator>
  <cp:lastModifiedBy>Administrator</cp:lastModifiedBy>
  <dcterms:modified xsi:type="dcterms:W3CDTF">2023-05-23T02:06:02Z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7B3BA8D68D1E4ADEBA496035CBFABB7C</vt:lpwstr>
  </property>
</Properties>
</file>